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eastAsia="方正大标宋_GBK"/>
          <w:sz w:val="38"/>
          <w:szCs w:val="36"/>
        </w:rPr>
      </w:pPr>
      <w:bookmarkStart w:id="0" w:name="_Toc438061495"/>
      <w:r>
        <w:rPr>
          <w:rFonts w:ascii="Times New Roman" w:hAnsi="Times New Roman" w:eastAsia="方正大标宋_GBK"/>
          <w:sz w:val="38"/>
          <w:szCs w:val="36"/>
        </w:rPr>
        <w:t>生物学一级学科博士、硕士学位授予标准</w:t>
      </w:r>
      <w:bookmarkEnd w:id="0"/>
    </w:p>
    <w:p>
      <w:pPr>
        <w:spacing w:line="440" w:lineRule="exact"/>
        <w:rPr>
          <w:rFonts w:ascii="Times New Roman" w:hAnsi="Times New Roman"/>
          <w:color w:val="0D0D0D"/>
          <w:sz w:val="24"/>
          <w:szCs w:val="24"/>
        </w:rPr>
      </w:pPr>
    </w:p>
    <w:p>
      <w:pPr>
        <w:spacing w:line="440" w:lineRule="exact"/>
        <w:rPr>
          <w:rFonts w:ascii="Times New Roman" w:hAnsi="Times New Roman" w:eastAsia="黑体"/>
          <w:color w:val="0D0D0D"/>
          <w:sz w:val="24"/>
          <w:szCs w:val="24"/>
        </w:rPr>
      </w:pPr>
      <w:r>
        <w:rPr>
          <w:rFonts w:ascii="Times New Roman" w:hAnsi="Times New Roman" w:eastAsia="黑体"/>
          <w:color w:val="0D0D0D"/>
          <w:sz w:val="24"/>
          <w:szCs w:val="24"/>
        </w:rPr>
        <w:t>一级学科代码：0710</w:t>
      </w:r>
    </w:p>
    <w:p>
      <w:pPr>
        <w:spacing w:line="440" w:lineRule="exact"/>
        <w:rPr>
          <w:rFonts w:ascii="Times New Roman" w:hAnsi="Times New Roman" w:eastAsia="黑体"/>
          <w:color w:val="0D0D0D"/>
          <w:sz w:val="24"/>
          <w:szCs w:val="24"/>
        </w:rPr>
      </w:pPr>
      <w:r>
        <w:rPr>
          <w:rFonts w:ascii="Times New Roman" w:hAnsi="Times New Roman" w:eastAsia="黑体"/>
          <w:color w:val="0D0D0D"/>
          <w:sz w:val="24"/>
          <w:szCs w:val="24"/>
        </w:rPr>
        <w:t>一级学科名称：生物学</w:t>
      </w:r>
    </w:p>
    <w:p>
      <w:pPr>
        <w:spacing w:beforeLines="50" w:afterLines="50"/>
        <w:jc w:val="center"/>
        <w:rPr>
          <w:rFonts w:ascii="Times New Roman" w:hAnsi="Times New Roman" w:eastAsia="黑体"/>
          <w:sz w:val="28"/>
          <w:szCs w:val="28"/>
        </w:rPr>
      </w:pPr>
      <w:r>
        <w:rPr>
          <w:rFonts w:ascii="Times New Roman" w:hAnsi="Times New Roman" w:eastAsia="黑体"/>
          <w:sz w:val="28"/>
          <w:szCs w:val="28"/>
        </w:rPr>
        <w:t>第一部分  学科定位与发展目标</w:t>
      </w:r>
    </w:p>
    <w:p>
      <w:pPr>
        <w:pStyle w:val="2"/>
        <w:shd w:val="clear" w:color="auto" w:fill="FFFFFF"/>
        <w:spacing w:before="0" w:beforeAutospacing="0" w:after="0" w:afterAutospacing="0" w:line="440" w:lineRule="exact"/>
        <w:ind w:firstLine="480"/>
        <w:jc w:val="both"/>
        <w:rPr>
          <w:rFonts w:ascii="Times New Roman" w:hAnsi="Times New Roman" w:eastAsia="宋体"/>
          <w:color w:val="0D0D0D"/>
        </w:rPr>
      </w:pPr>
      <w:r>
        <w:rPr>
          <w:rFonts w:ascii="Times New Roman" w:hAnsi="Times New Roman" w:eastAsia="宋体"/>
          <w:color w:val="0D0D0D"/>
        </w:rPr>
        <w:t>兰州大学生物学是一级学科博士点，现有植物学、动物学、细胞生物学、生物化学与分子生物学、微生物学、生物物理学、遗传学等7个博士研究生招生专业，植物学、动物学、生理学、微生物学、发育生物学、细胞生物学、生物化学与分子生物学、生物物理学、遗传学等9个硕士研究生招生专业。其中植物学为国家重点学科，于2007年顺利通过评估，在全国排名第四。在教育部学位与研究生教育发展中心2012年组织开展的第三轮学科评估中生物学位列全国第十六名。植物学与动物学保持国际ESI排名前1%。</w:t>
      </w:r>
    </w:p>
    <w:p>
      <w:pPr>
        <w:pStyle w:val="2"/>
        <w:shd w:val="clear" w:color="auto" w:fill="FFFFFF"/>
        <w:spacing w:before="0" w:beforeAutospacing="0" w:after="0" w:afterAutospacing="0" w:line="440" w:lineRule="exact"/>
        <w:ind w:firstLine="480"/>
        <w:jc w:val="both"/>
        <w:rPr>
          <w:rFonts w:ascii="Times New Roman" w:hAnsi="Times New Roman" w:eastAsia="宋体"/>
          <w:color w:val="0D0D0D"/>
        </w:rPr>
      </w:pPr>
      <w:r>
        <w:rPr>
          <w:rFonts w:ascii="Times New Roman" w:hAnsi="Times New Roman" w:eastAsia="宋体"/>
          <w:color w:val="0D0D0D"/>
        </w:rPr>
        <w:t>生物学将在保持特色学科优良发展的前提下，同时推进二级学科群的发展，包括植物学与细胞生物学、动物学与生物医学。生物学利用植物学、细胞生物学、动物学和微生物学等学科的优势力量，于2011年获批建设“细胞活动与逆境适应”教育部重点实验室，2014年获批建设“甘肃省环境生物监测与修复重点实验室”。今后，将带领植物学和细胞生物学冲击世界一流学科，动物学和生物化学与分子生物学等达到国际先进水平，提高其它各二级学科在国际国内的排名。进一步加强与国际高水平研究机构的交流与合作，在提高人类健康水平、保证粮食和能源安全、改善生存环境等方面做出贡献。</w:t>
      </w:r>
    </w:p>
    <w:p>
      <w:pPr>
        <w:spacing w:beforeLines="50" w:afterLines="50"/>
        <w:jc w:val="center"/>
        <w:rPr>
          <w:rFonts w:ascii="Times New Roman" w:hAnsi="Times New Roman" w:eastAsia="黑体"/>
          <w:sz w:val="28"/>
          <w:szCs w:val="28"/>
        </w:rPr>
      </w:pPr>
      <w:r>
        <w:rPr>
          <w:rFonts w:ascii="Times New Roman" w:hAnsi="Times New Roman" w:eastAsia="黑体"/>
          <w:sz w:val="28"/>
          <w:szCs w:val="28"/>
        </w:rPr>
        <w:t>第二部分  博士学位授予标准</w:t>
      </w:r>
    </w:p>
    <w:p>
      <w:pPr>
        <w:spacing w:line="440" w:lineRule="exact"/>
        <w:ind w:firstLine="480" w:firstLineChars="200"/>
        <w:rPr>
          <w:rFonts w:ascii="Times New Roman" w:hAnsi="Times New Roman" w:eastAsia="黑体"/>
          <w:bCs/>
          <w:color w:val="0D0D0D"/>
          <w:sz w:val="24"/>
          <w:szCs w:val="24"/>
        </w:rPr>
      </w:pPr>
      <w:r>
        <w:rPr>
          <w:rFonts w:ascii="Times New Roman" w:hAnsi="Times New Roman" w:eastAsia="黑体"/>
          <w:bCs/>
          <w:color w:val="0D0D0D"/>
          <w:sz w:val="24"/>
          <w:szCs w:val="24"/>
        </w:rPr>
        <w:t>一、获本学科博士学位应掌握的基本知识</w:t>
      </w:r>
    </w:p>
    <w:p>
      <w:pPr>
        <w:pStyle w:val="2"/>
        <w:shd w:val="clear" w:color="auto" w:fill="FFFFFF"/>
        <w:spacing w:before="0" w:beforeAutospacing="0" w:after="0" w:afterAutospacing="0" w:line="440" w:lineRule="exact"/>
        <w:ind w:firstLine="480"/>
        <w:jc w:val="both"/>
        <w:rPr>
          <w:rFonts w:ascii="Times New Roman" w:hAnsi="Times New Roman" w:eastAsia="宋体"/>
          <w:color w:val="0D0D0D"/>
        </w:rPr>
      </w:pPr>
      <w:r>
        <w:rPr>
          <w:rFonts w:ascii="Times New Roman" w:hAnsi="Times New Roman" w:eastAsia="宋体"/>
          <w:color w:val="0D0D0D"/>
        </w:rPr>
        <w:t>博士研究生应全面掌握本研究领域及相关学科的知识体系，理解这些体系的核心概念和原理。本学科知识体系包括动物生物学、植物生物学、微生物学、生物化学与分子生物学、细胞生物学、发育生物学、生理学、遗传与演化等核心生物学内容及数学、物理学和化学等其它相关学科的基本理论知识。对自己所在研究领域的历史与现状有全面系统的掌握，熟悉特定生物学科的文献，能够随时掌握其主要进展，有能力获得在该学科特定领域开展研究所需要的背景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D0D0D"/>
        </w:rPr>
      </w:pPr>
      <w:r>
        <w:rPr>
          <w:rFonts w:ascii="Times New Roman" w:hAnsi="Times New Roman" w:eastAsia="宋体"/>
          <w:color w:val="0D0D0D"/>
        </w:rPr>
        <w:t>基础知识包括英语、政治及生物学专业知识。各二级学科对专业知识的要求如下：</w:t>
      </w:r>
    </w:p>
    <w:p>
      <w:pPr>
        <w:pStyle w:val="2"/>
        <w:shd w:val="clear" w:color="auto" w:fill="FFFFFF"/>
        <w:spacing w:before="0" w:beforeAutospacing="0" w:after="0" w:afterAutospacing="0" w:line="440" w:lineRule="exact"/>
        <w:ind w:firstLine="480"/>
        <w:jc w:val="both"/>
        <w:rPr>
          <w:rFonts w:ascii="Times New Roman" w:hAnsi="Times New Roman" w:eastAsia="宋体"/>
          <w:color w:val="0D0D0D"/>
        </w:rPr>
      </w:pPr>
      <w:r>
        <w:rPr>
          <w:rFonts w:ascii="Times New Roman" w:hAnsi="Times New Roman" w:eastAsia="宋体"/>
          <w:color w:val="0D0D0D"/>
        </w:rPr>
        <w:t>1.植物学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高级植物生理学、植物细胞生物学、高级生物化学、植物分子生物学及技术、植物分子遗传学、植物激素、植物细胞信号转导、植物发育生物学、植物逆境生理学、植物生殖生物学、植物蛋白质组学、植物生理生态学、环境生物学和生物信息学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2.动物学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包括动物生理学、发育生物学、组织胚胎学、神经生物学、高级神经解剖学、脊椎动物比较解剖学、解剖组织学、环境动物学、生态遗传学、分子生态学、遗传毒理学和生态毒理学等方面的专业知识。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3.微生物学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微生物技术、发酵工程、高级微生物学、微生物生理学、应用微生物学、微生物生态学、极端环境微生物学、微生物遗传育种学、植物－微生物相互作用、医药微生物学、工业微生物学和生物防治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4.细胞生物学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植物分子细胞生物学、植物分子生物学、植物分子遗传学、植物发育生物学、植物细胞信号转导、植物激素、植物细胞工程与基因工程、肿瘤免疫学、医学与肿瘤细胞生物学、干细胞及癌细胞表观遗传学和生物信息学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5.生物化学与分子生物学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高级生物化学、分子生物学及其技术、生物技术制药、生化药理学、多肽生化与多肽药化、多肽合成技术、多肽化学及生物学、生物有机与立体化学、手性药物、生物信息学与计算机辅助药物设计、波谱分析在生命科学中的应用和比较生理学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6.生物物理学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包括高级生物物理学、高级生物化学、免疫学、分子生物学、细胞生物学、细胞信号转导、肿瘤免疫学、膜分子生物学、结构生物学、电子显微学原理和发育生物学研究方法等方面的专业知识。</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D0D0D"/>
        </w:rPr>
      </w:pPr>
      <w:r>
        <w:rPr>
          <w:rFonts w:ascii="Times New Roman" w:hAnsi="Times New Roman" w:eastAsia="宋体"/>
          <w:color w:val="0D0D0D"/>
        </w:rPr>
        <w:t>7.遗传学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医学遗传学、表观遗传学、分子生物学技术、实验动物学、肿瘤细胞分子生物学、基因工程与分子免疫学、肿瘤干细胞与治疗抗性机制、生物信息学、突变检测技术、药物基因组学和群体遗传学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博士研究生课程体系包括公共课、专业课、方向选修课和必修环节等。</w:t>
      </w:r>
    </w:p>
    <w:p>
      <w:pPr>
        <w:spacing w:line="440" w:lineRule="exact"/>
        <w:ind w:firstLine="480" w:firstLineChars="200"/>
        <w:rPr>
          <w:rFonts w:ascii="Times New Roman" w:hAnsi="Times New Roman" w:eastAsia="黑体"/>
          <w:bCs/>
          <w:color w:val="0D0D0D"/>
          <w:sz w:val="24"/>
          <w:szCs w:val="24"/>
        </w:rPr>
      </w:pPr>
      <w:r>
        <w:rPr>
          <w:rFonts w:ascii="Times New Roman" w:hAnsi="Times New Roman" w:eastAsia="黑体"/>
          <w:bCs/>
          <w:color w:val="0D0D0D"/>
          <w:sz w:val="24"/>
          <w:szCs w:val="24"/>
        </w:rPr>
        <w:t>二、获本学科博士学位应具备的基本素质</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1.学术素养</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要求具备优良的学术素养，崇尚科学精神，具备批判性的思考能力、扎实的研究和分析技能、解决理论或技术问题的能力，同时掌握一定与本学科相关的知识产权、研究伦理等方面的知识。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2.学术道德</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要求具备严谨求实的科学态度和追求真理的高尚品格，严格遵守学术规范；保证研究工作中实验结果的真实性，尊重他人的研究成果、知识产权、生命伦理；杜绝一切剽窃他人成果、捏造歪曲数据、有意提供误导性推论等不当学术行为。</w:t>
      </w:r>
    </w:p>
    <w:p>
      <w:pPr>
        <w:spacing w:line="440" w:lineRule="exact"/>
        <w:ind w:firstLine="480" w:firstLineChars="200"/>
        <w:rPr>
          <w:rFonts w:ascii="Times New Roman" w:hAnsi="Times New Roman" w:eastAsia="黑体"/>
          <w:bCs/>
          <w:color w:val="0D0D0D"/>
          <w:sz w:val="24"/>
          <w:szCs w:val="24"/>
        </w:rPr>
      </w:pPr>
      <w:r>
        <w:rPr>
          <w:rFonts w:ascii="Times New Roman" w:hAnsi="Times New Roman" w:eastAsia="黑体"/>
          <w:bCs/>
          <w:color w:val="0D0D0D"/>
          <w:sz w:val="24"/>
          <w:szCs w:val="24"/>
        </w:rPr>
        <w:t>三、获本学科博士学位应具备的基本学术能力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生物学博士研究生必须具备基本的学术能力，包括获取知识的能力、学术创新能力、学术交流能力和学术鉴别能力。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1.获取知识的能力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博士研究生在申请学位之前必须完成培养计划所规定的所有课程；具备深厚的英语知识，能够阅读发表在国际期刊上的研究论文，流利地与国外专家进行学术交流；有能力获得在相关专业领域开展研究所需要的背景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2.学术创新能力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博士研究生要求具备较强的创新知识或方法的能力，在申请学位前应具备下列要求之一：</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（1）作为第一作者，至少有1篇与学位论文有关的学术论文公开发表在SCI收录刊物。对于共同第一作者</w:t>
      </w:r>
      <w:r>
        <w:rPr>
          <w:rFonts w:hint="eastAsia" w:ascii="Times New Roman" w:hAnsi="Times New Roman" w:eastAsia="宋体"/>
          <w:color w:val="0D0D0D"/>
        </w:rPr>
        <w:t>，</w:t>
      </w:r>
      <w:r>
        <w:rPr>
          <w:rFonts w:ascii="Times New Roman" w:hAnsi="Times New Roman" w:eastAsia="宋体"/>
          <w:color w:val="0D0D0D"/>
        </w:rPr>
        <w:t>根据其创新性、影响力、工作量等因素，具体情况由学位评定分委员会讨论决定。</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（2）发表SCI大类一区、且影响因子≥5.0的论文，前两个作者中的学生可以申请学位；在NATURE、SCIENCE、CELL发表论文的，经导师认定有实质性贡献的学生均可申请学位。</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3.学术交流能力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具备在国际、国内学术会议进行口头交流的能力。要求博士研究生在读期间应至少参加1次国际会议或国内会议。</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4.学术鉴别能力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熟悉专业相关的文献报道，领会文献的学术思想，了解建立假说的依据和推理。要求及时跟踪阅读相关领域的主要学术期刊。</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5.实践能力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积极参与一些对本科生的教育过程，锻炼指导他人的能力。</w:t>
      </w:r>
    </w:p>
    <w:p>
      <w:pPr>
        <w:spacing w:line="440" w:lineRule="exact"/>
        <w:ind w:firstLine="480" w:firstLineChars="200"/>
        <w:rPr>
          <w:rFonts w:ascii="Times New Roman" w:hAnsi="Times New Roman" w:eastAsia="黑体"/>
          <w:bCs/>
          <w:color w:val="0D0D0D"/>
          <w:sz w:val="24"/>
          <w:szCs w:val="24"/>
        </w:rPr>
      </w:pPr>
      <w:r>
        <w:rPr>
          <w:rFonts w:ascii="Times New Roman" w:hAnsi="Times New Roman" w:eastAsia="黑体"/>
          <w:bCs/>
          <w:color w:val="0D0D0D"/>
          <w:sz w:val="24"/>
          <w:szCs w:val="24"/>
        </w:rPr>
        <w:t>四、学位论文要求</w:t>
      </w:r>
    </w:p>
    <w:p>
      <w:pPr>
        <w:pStyle w:val="2"/>
        <w:shd w:val="clear" w:color="auto" w:fill="FFFFFF"/>
        <w:spacing w:before="0" w:beforeAutospacing="0" w:after="0" w:afterAutospacing="0" w:line="440" w:lineRule="exact"/>
        <w:ind w:firstLine="480" w:firstLineChars="200"/>
        <w:jc w:val="both"/>
        <w:rPr>
          <w:rFonts w:ascii="Times New Roman" w:hAnsi="Times New Roman" w:eastAsia="宋体"/>
          <w:color w:val="0D0D0D"/>
        </w:rPr>
      </w:pPr>
      <w:r>
        <w:rPr>
          <w:rFonts w:ascii="Times New Roman" w:hAnsi="Times New Roman" w:eastAsia="宋体"/>
          <w:color w:val="0D0D0D"/>
        </w:rPr>
        <w:t>1.选题与综述的要求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生物学博士学位论文要求选择学科前沿领域开展有重要科学意义的课题，论文具有学术性、创新性和可行性。学位论文的综述部分要求在充分参阅与研究课题相关的主要文献的基础上，对该领域的研究现状和问题进行合理地分析，并对论文立题依据加以透彻地阐述。</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2.规范性要求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博士学位论文要求是一篇系统的、完整的学术文章。立题依据充分，学术观点明确，实验设计合理，数据真实，图表符合生物学学科规范，语言简明流畅，字数不少于5万字，格式符合兰州大学博士学位论文的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3.成果创新性要求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博士学位论文的研究成果要求在某一方向上有所突破和创新，具有新的学术思路，在理论或技术、方法上有创新性。</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4.</w:t>
      </w:r>
      <w:r>
        <w:rPr>
          <w:rFonts w:hint="eastAsia" w:ascii="Times New Roman" w:hAnsi="Times New Roman" w:eastAsia="宋体"/>
          <w:color w:val="0D0D0D"/>
        </w:rPr>
        <w:t>文字复制比</w:t>
      </w:r>
      <w:r>
        <w:rPr>
          <w:rFonts w:ascii="Times New Roman" w:hAnsi="Times New Roman" w:eastAsia="宋体"/>
          <w:color w:val="0D0D0D"/>
        </w:rPr>
        <w:t>检测要求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生物学博士学位论文复制比检测结果要求</w:t>
      </w:r>
      <w:r>
        <w:rPr>
          <w:rFonts w:hint="eastAsia" w:ascii="Times New Roman" w:hAnsi="Times New Roman" w:eastAsia="宋体"/>
          <w:color w:val="0D0D0D"/>
        </w:rPr>
        <w:t>文字复制比不超过</w:t>
      </w:r>
      <w:r>
        <w:rPr>
          <w:rFonts w:ascii="Times New Roman" w:hAnsi="Times New Roman" w:eastAsia="宋体"/>
          <w:color w:val="0D0D0D"/>
        </w:rPr>
        <w:t xml:space="preserve">15%。  </w:t>
      </w:r>
    </w:p>
    <w:p>
      <w:pPr>
        <w:spacing w:beforeLines="50" w:afterLines="50"/>
        <w:jc w:val="center"/>
        <w:rPr>
          <w:rFonts w:ascii="Times New Roman" w:hAnsi="Times New Roman" w:eastAsia="黑体"/>
          <w:sz w:val="28"/>
          <w:szCs w:val="28"/>
        </w:rPr>
      </w:pPr>
      <w:r>
        <w:rPr>
          <w:rFonts w:ascii="Times New Roman" w:hAnsi="Times New Roman" w:eastAsia="黑体"/>
          <w:sz w:val="28"/>
          <w:szCs w:val="28"/>
        </w:rPr>
        <w:t>第三部分  硕士学位授予标准</w:t>
      </w:r>
    </w:p>
    <w:p>
      <w:pPr>
        <w:spacing w:line="440" w:lineRule="exact"/>
        <w:ind w:firstLine="480" w:firstLineChars="200"/>
        <w:rPr>
          <w:rFonts w:ascii="Times New Roman" w:hAnsi="Times New Roman" w:eastAsia="黑体"/>
          <w:bCs/>
          <w:color w:val="0D0D0D"/>
          <w:sz w:val="24"/>
          <w:szCs w:val="24"/>
        </w:rPr>
      </w:pPr>
      <w:r>
        <w:rPr>
          <w:rFonts w:ascii="Times New Roman" w:hAnsi="Times New Roman" w:eastAsia="黑体"/>
          <w:bCs/>
          <w:color w:val="0D0D0D"/>
          <w:sz w:val="24"/>
          <w:szCs w:val="24"/>
        </w:rPr>
        <w:t>一、获本学科硕士学位应掌握的基本知识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硕士研究生要求对所从事的研究方向及相关学科有比较广泛的了解，相关知识体系包括动物生物学、植物生物学、微生物学、生物化学与分子生物学、细胞生物学、发育生物学、生理学、遗传学和生态学等核心生物学内容，以及数学、物理学和化学等其它相关学科。对自己的研究领域有比较系统的了解。比较熟悉相关学科的科研文献，并掌握本研究领域的一些主要进展。具备一定的获得在该学科的某一领域开展研究所需背景知识的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基础知识包括英语、政治及生物学专业知识。各二级学科对专业知识的要求如下：</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1.植物学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植物分子生物学、植物生理学、植物发育生物学、植物蛋白质组学、基因组学、植物细胞信号转导、植物生殖生物学、共生生物学、植物呼吸代谢、植物生理生态学、资源植物学、植物系统分类学、分子遗传学、分子克隆与基因工程、生物信息学、生物统计学和科技论文写作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2.动物学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环境动物学、神经生物学、保护生物学、极端环境生理学、自由基生物学、种群生物学、发育生物学、动物解剖学与组织胚胎学、鸟类学、动物毒理学、生态毒理学、动物行为与进化生态学、环境生物监测、分子克隆与基因工程、生物信息学、生物统计学和科技论文写作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3.微生物学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微生物学、微生物生理学、微生物生态学、植物－微生物相互作用、微生物技术、生物安全检测技术、病毒学、资源微生物、微生物制药、分子克隆与基因工程、生物信息学、生物统计学和科技论文写作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4.发育生物学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发育生物学、神经生物学、分子生物学、肿瘤信号转导、动物解剖学、组织胚胎学、动物生理学、比较动物细胞与组织学、环境动物学、肿瘤免疫学、细胞生物学、分子遗传学、分子克隆与基因工程、生物信息学、生物统计学和科技论文写作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 xml:space="preserve">5.细胞生物学 </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分子细胞生物学、植物分子生物学、植物发育生物学、植物细胞工程、基因组学、植物蛋白质组学、细胞信号传导、肿瘤信号转导、电子显微镜原理与应用、植物生理学、表观遗传学、分子遗传学、分子克隆与基因工程、生物信息学、生物统计学和科技论文写作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6.生物化学与分子生物学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生物化学、分子生物学、生物有机与立体化学、多肽生化与多肽药化、现代生理学、神经生理学、计算机辅助药物设计、分子动力学、细胞生物学、实验动物学、分子遗传学、生物信息学、生物统计学和科技论文写作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7.生物物理学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生物物理学、细胞生物学、膜分子生物学、结构生物学、电子显微学原理、细胞信号转导、肿瘤信号转导、自由基生物学、免疫学、分子生物学、分子遗传学、生物信息学、生物统计学和科技论文写作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8.生理学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包括动物生理学、神经生理学、生物化学、生化药理学、多肽化学及生物学、酶学、自由基生物学、分子生物学、平滑肌生理、内分泌代谢生理、生物信息学、生物统计学和科技论文写作等方面的专业知识。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9.遗传学</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包括分子生物学、细胞生物学、分子遗传学、生物化学、现代生物技术、基因组学、群体遗传学、医学遗传学、细胞与分子免疫学、病理学、神经科学、病原生物学、循证医学和医学信息检索等方面的专业知识。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硕士研究生课程体系包括公共课、学科通开课、专业基础课、方向选修课、专业外语和必修环节等。</w:t>
      </w:r>
    </w:p>
    <w:p>
      <w:pPr>
        <w:spacing w:line="440" w:lineRule="exact"/>
        <w:ind w:firstLine="480" w:firstLineChars="200"/>
        <w:rPr>
          <w:rFonts w:ascii="Times New Roman" w:hAnsi="Times New Roman" w:eastAsia="黑体"/>
          <w:bCs/>
          <w:color w:val="0D0D0D"/>
          <w:sz w:val="24"/>
          <w:szCs w:val="24"/>
        </w:rPr>
      </w:pPr>
      <w:r>
        <w:rPr>
          <w:rFonts w:ascii="Times New Roman" w:hAnsi="Times New Roman" w:eastAsia="黑体"/>
          <w:bCs/>
          <w:color w:val="0D0D0D"/>
          <w:sz w:val="24"/>
          <w:szCs w:val="24"/>
        </w:rPr>
        <w:t>二、获本学科硕士学位应具备的基本素质</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1.学术素养</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具备严谨的科学精神、独立思考和动手能力；具有运用专业知识解决理论探索或应用研究领域中科学问题的基本能力；了解本学科相关的知识产权法、研究伦理等方面的知识。</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2.学术道德</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要求具备严谨求实的科学态度和追求真理的高尚品格，严格遵守学术规范。保证研究工作中实验结果的真实性，尊重他人的研究成果、知识产权、生命伦理。杜绝一切剽窃他人成果、捏造歪曲数据、有意提供误导性推论等不当学术行为。</w:t>
      </w:r>
    </w:p>
    <w:p>
      <w:pPr>
        <w:spacing w:line="440" w:lineRule="exact"/>
        <w:ind w:firstLine="480" w:firstLineChars="200"/>
        <w:rPr>
          <w:rFonts w:ascii="Times New Roman" w:hAnsi="Times New Roman" w:eastAsia="黑体"/>
          <w:bCs/>
          <w:color w:val="0D0D0D"/>
          <w:sz w:val="24"/>
          <w:szCs w:val="24"/>
        </w:rPr>
      </w:pPr>
      <w:r>
        <w:rPr>
          <w:rFonts w:ascii="Times New Roman" w:hAnsi="Times New Roman" w:eastAsia="黑体"/>
          <w:bCs/>
          <w:color w:val="0D0D0D"/>
          <w:sz w:val="24"/>
          <w:szCs w:val="24"/>
        </w:rPr>
        <w:t>三、获本学科硕士学位应具备的基本学术能力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兰州大学培养的生物学硕士研究生应具备基本的学术能力，包括获取知识的能力、科学研究能力。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1.获取知识的能力</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生物学硕士研究生在申请学位之前要求具备一定的专业知识和外语水平，必须完成培养计划所规定的所有课程。</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2.科学研究能力</w:t>
      </w:r>
    </w:p>
    <w:p>
      <w:pPr>
        <w:spacing w:line="440" w:lineRule="exact"/>
        <w:ind w:firstLine="480" w:firstLineChars="200"/>
        <w:rPr>
          <w:rFonts w:ascii="Times New Roman" w:hAnsi="Times New Roman"/>
          <w:color w:val="0D0D0D"/>
          <w:kern w:val="0"/>
          <w:sz w:val="24"/>
          <w:szCs w:val="24"/>
        </w:rPr>
      </w:pPr>
      <w:r>
        <w:rPr>
          <w:rFonts w:ascii="Times New Roman" w:hAnsi="Times New Roman"/>
          <w:color w:val="0D0D0D"/>
          <w:kern w:val="0"/>
          <w:sz w:val="24"/>
          <w:szCs w:val="24"/>
        </w:rPr>
        <w:t>要求具备一定从事科学研究的能力，即在别人的指导和帮助下，能够就某一科研课题开展前期调研，结合该领域已经开展的工作作出较合理的分析和判断，提出研究工作思路，设计合理的实验过程，完成相关研究内容，科学分析实验数据，并能够总结研究结果。</w:t>
      </w:r>
    </w:p>
    <w:p>
      <w:pPr>
        <w:spacing w:line="440" w:lineRule="exact"/>
        <w:ind w:firstLine="480" w:firstLineChars="200"/>
        <w:rPr>
          <w:rFonts w:ascii="Times New Roman" w:hAnsi="Times New Roman" w:eastAsia="黑体"/>
          <w:bCs/>
          <w:color w:val="0D0D0D"/>
          <w:sz w:val="24"/>
          <w:szCs w:val="24"/>
        </w:rPr>
      </w:pPr>
      <w:r>
        <w:rPr>
          <w:rFonts w:ascii="Times New Roman" w:hAnsi="Times New Roman" w:eastAsia="黑体"/>
          <w:bCs/>
          <w:color w:val="0D0D0D"/>
          <w:sz w:val="24"/>
          <w:szCs w:val="24"/>
        </w:rPr>
        <w:t>四、学位论文要求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1.选题与综述的要求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生物学硕士学位</w:t>
      </w:r>
      <w:bookmarkStart w:id="1" w:name="_GoBack"/>
      <w:bookmarkEnd w:id="1"/>
      <w:r>
        <w:rPr>
          <w:rFonts w:ascii="Times New Roman" w:hAnsi="Times New Roman" w:eastAsia="宋体"/>
          <w:color w:val="0D0D0D"/>
        </w:rPr>
        <w:t>论文要求选择具有创新性的课题开展有意义的工作。论文具有学术性、创新性和可行性。学位论文的综述部分要求在充分参阅与研究课题相关的主要文献的基础上，对该领域的研究现状和问题进行比较合理的分析，并对论文立题依据加以阐述。</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2.规范性要求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硕士学位论文要求是一篇比较完整的学术文章。立题依据充分，学术观点明确，实验设计合理，数据真实，图表符合生物学学科规范，语言简明流畅，字数不少于3万字，格式符合兰州大学硕士学位论文的要求。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3.成果创新性要求</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硕士学位论文的研究成果要求在某一方向上有所发现或完善，在理论或技术、方法上有一定的创新。</w:t>
      </w:r>
    </w:p>
    <w:p>
      <w:pPr>
        <w:pStyle w:val="2"/>
        <w:shd w:val="clear" w:color="auto" w:fill="FFFFFF"/>
        <w:spacing w:before="0" w:beforeAutospacing="0" w:after="0" w:afterAutospacing="0" w:line="440" w:lineRule="exact"/>
        <w:ind w:firstLine="482"/>
        <w:jc w:val="both"/>
        <w:rPr>
          <w:rFonts w:ascii="Times New Roman" w:hAnsi="Times New Roman" w:eastAsia="宋体"/>
          <w:color w:val="0D0D0D"/>
        </w:rPr>
      </w:pPr>
      <w:r>
        <w:rPr>
          <w:rFonts w:ascii="Times New Roman" w:hAnsi="Times New Roman" w:eastAsia="宋体"/>
          <w:color w:val="0D0D0D"/>
        </w:rPr>
        <w:t>4.</w:t>
      </w:r>
      <w:r>
        <w:rPr>
          <w:rFonts w:hint="eastAsia" w:ascii="Times New Roman" w:hAnsi="Times New Roman" w:eastAsia="宋体"/>
          <w:color w:val="0D0D0D"/>
        </w:rPr>
        <w:t>文字复制比</w:t>
      </w:r>
      <w:r>
        <w:rPr>
          <w:rFonts w:ascii="Times New Roman" w:hAnsi="Times New Roman" w:eastAsia="宋体"/>
          <w:color w:val="0D0D0D"/>
        </w:rPr>
        <w:t>检测要求</w:t>
      </w:r>
    </w:p>
    <w:p>
      <w:pPr>
        <w:pStyle w:val="2"/>
        <w:shd w:val="clear" w:color="auto" w:fill="FFFFFF"/>
        <w:spacing w:before="0" w:beforeAutospacing="0" w:after="0" w:afterAutospacing="0" w:line="440" w:lineRule="exact"/>
        <w:ind w:firstLine="480"/>
        <w:jc w:val="both"/>
        <w:rPr>
          <w:rFonts w:ascii="Times New Roman" w:hAnsi="Times New Roman" w:eastAsia="宋体"/>
          <w:color w:val="0D0D0D"/>
        </w:rPr>
      </w:pPr>
      <w:r>
        <w:rPr>
          <w:rFonts w:hint="eastAsia" w:ascii="Times New Roman" w:hAnsi="Times New Roman" w:eastAsia="宋体"/>
          <w:color w:val="0D0D0D"/>
        </w:rPr>
        <w:t>去除本人已发表文献后，</w:t>
      </w:r>
      <w:r>
        <w:rPr>
          <w:rFonts w:ascii="Times New Roman" w:hAnsi="Times New Roman" w:eastAsia="宋体"/>
          <w:color w:val="0D0D0D"/>
        </w:rPr>
        <w:t>文字复制比</w:t>
      </w:r>
      <w:r>
        <w:rPr>
          <w:rFonts w:hint="eastAsia" w:ascii="Times New Roman" w:hAnsi="Times New Roman" w:eastAsia="宋体"/>
          <w:color w:val="0D0D0D"/>
        </w:rPr>
        <w:t>不超过</w:t>
      </w:r>
      <w:r>
        <w:rPr>
          <w:rFonts w:ascii="Times New Roman" w:hAnsi="Times New Roman" w:eastAsia="宋体"/>
          <w:color w:val="0D0D0D"/>
        </w:rPr>
        <w:t>15%。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方正大标宋_GBK">
    <w:altName w:val="宋体"/>
    <w:panose1 w:val="00000000000000000000"/>
    <w:charset w:val="86"/>
    <w:family w:val="script"/>
    <w:pitch w:val="default"/>
    <w:sig w:usb0="00000000" w:usb1="00000000" w:usb2="00000010" w:usb3="00000000" w:csb0="00040000" w:csb1="00000000"/>
  </w:font>
  <w:font w:name="方正粗倩简体">
    <w:altName w:val="宋体"/>
    <w:panose1 w:val="00000000000000000000"/>
    <w:charset w:val="86"/>
    <w:family w:val="script"/>
    <w:pitch w:val="default"/>
    <w:sig w:usb0="00000000" w:usb1="00000000" w:usb2="00000010" w:usb3="00000000" w:csb0="00040000" w:csb1="00000000"/>
  </w:font>
  <w:font w:name="方正大黑_GBK">
    <w:altName w:val="黑体"/>
    <w:panose1 w:val="00000000000000000000"/>
    <w:charset w:val="86"/>
    <w:family w:val="script"/>
    <w:pitch w:val="default"/>
    <w:sig w:usb0="00000000" w:usb1="00000000" w:usb2="0000001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DB43CF"/>
    <w:rsid w:val="32DB43C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jc w:val="left"/>
    </w:pPr>
    <w:rPr>
      <w:rFonts w:ascii="Arial Unicode MS" w:hAnsi="Arial Unicode MS" w:eastAsia="Arial Unicode MS"/>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2016-09-22T02:50:00Z</dcterms:created>
  <dc:creator>Administrator</dc:creator>
  <cp:lastModifiedBy>Administrator</cp:lastModifiedBy>
  <cp:lastPrinted>2016-09-22T02:52:48Z</cp:lastPrinted>
  <dcterms:modified xsi:type="dcterms:W3CDTF">2016-09-22T02:54:18Z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